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8C" w:rsidRDefault="0051188C" w:rsidP="0051188C">
      <w:pPr>
        <w:pStyle w:val="Default"/>
        <w:jc w:val="center"/>
      </w:pPr>
      <w:r>
        <w:rPr>
          <w:rFonts w:ascii="Garamond" w:hAnsi="Garamond"/>
          <w:b/>
          <w:bCs/>
          <w:caps/>
          <w:sz w:val="36"/>
          <w:szCs w:val="36"/>
        </w:rPr>
        <w:t>ETIQUETAGE vins – MENTIONS OBLIGATOIRES</w:t>
      </w:r>
    </w:p>
    <w:p w:rsidR="0051188C" w:rsidRDefault="00113F32" w:rsidP="00113F32">
      <w:pPr>
        <w:autoSpaceDE w:val="0"/>
        <w:autoSpaceDN w:val="0"/>
        <w:jc w:val="center"/>
      </w:pPr>
      <w:r>
        <w:rPr>
          <w:rFonts w:ascii="Garamond" w:hAnsi="Garamond"/>
          <w:color w:val="231F20"/>
          <w:sz w:val="24"/>
          <w:szCs w:val="24"/>
        </w:rPr>
        <w:t>FGVB, circulaire 2015-08</w:t>
      </w:r>
      <w:bookmarkStart w:id="0" w:name="_GoBack"/>
      <w:bookmarkEnd w:id="0"/>
    </w:p>
    <w:p w:rsidR="0051188C" w:rsidRDefault="0051188C" w:rsidP="0051188C">
      <w:pPr>
        <w:autoSpaceDE w:val="0"/>
        <w:autoSpaceDN w:val="0"/>
      </w:pPr>
      <w:r>
        <w:rPr>
          <w:rFonts w:ascii="Garamond" w:hAnsi="Garamond"/>
          <w:color w:val="231F20"/>
        </w:rPr>
        <w:t> </w:t>
      </w:r>
    </w:p>
    <w:p w:rsidR="0051188C" w:rsidRDefault="0051188C" w:rsidP="0051188C">
      <w:pPr>
        <w:autoSpaceDE w:val="0"/>
        <w:autoSpaceDN w:val="0"/>
        <w:jc w:val="center"/>
      </w:pPr>
      <w:r>
        <w:rPr>
          <w:rFonts w:ascii="Garamond" w:hAnsi="Garamond"/>
          <w:b/>
          <w:bCs/>
          <w:color w:val="231F20"/>
          <w:sz w:val="28"/>
          <w:szCs w:val="28"/>
        </w:rPr>
        <w:t>Etiquetage denrées alimentaires</w:t>
      </w:r>
    </w:p>
    <w:p w:rsidR="0051188C" w:rsidRDefault="0051188C" w:rsidP="0051188C">
      <w:pPr>
        <w:autoSpaceDE w:val="0"/>
        <w:autoSpaceDN w:val="0"/>
      </w:pPr>
      <w:r>
        <w:rPr>
          <w:rFonts w:ascii="Garamond" w:hAnsi="Garamond"/>
          <w:color w:val="231F20"/>
          <w:sz w:val="24"/>
          <w:szCs w:val="24"/>
        </w:rPr>
        <w:t> </w:t>
      </w:r>
    </w:p>
    <w:p w:rsidR="0051188C" w:rsidRDefault="0051188C" w:rsidP="0051188C">
      <w:pPr>
        <w:pStyle w:val="introtext"/>
        <w:spacing w:before="0" w:beforeAutospacing="0" w:after="0" w:afterAutospacing="0"/>
        <w:jc w:val="both"/>
      </w:pPr>
      <w:r>
        <w:rPr>
          <w:rFonts w:ascii="Garamond" w:hAnsi="Garamond"/>
        </w:rPr>
        <w:t>Le règlement concernant l’information des consommateurs sur les denrées alimentaires (n°1169/2011 du Parlement européen et du Conseil du 25 octobre 2011) est entré en vigueur le 13 décembre 2014. Comme la directive 2000/13 qu’il remplace, ce règlement concerne toutes les denrées alimentaires et s’applique donc au secteur viticole.</w:t>
      </w:r>
    </w:p>
    <w:p w:rsidR="0051188C" w:rsidRDefault="0051188C" w:rsidP="0051188C">
      <w:pPr>
        <w:pStyle w:val="introtext"/>
        <w:spacing w:before="0" w:beforeAutospacing="0" w:after="0" w:afterAutospacing="0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pPr>
        <w:pStyle w:val="introtext"/>
        <w:spacing w:before="0" w:beforeAutospacing="0" w:after="0" w:afterAutospacing="0"/>
        <w:jc w:val="both"/>
      </w:pPr>
      <w:r>
        <w:rPr>
          <w:rFonts w:ascii="Garamond" w:hAnsi="Garamond"/>
        </w:rPr>
        <w:t>Il a été complété par des dispositions nationales avec le décret n°2014-1489 du 11 décembre 2014 (</w:t>
      </w:r>
      <w:proofErr w:type="spellStart"/>
      <w:r>
        <w:rPr>
          <w:rFonts w:ascii="Garamond" w:hAnsi="Garamond"/>
        </w:rPr>
        <w:t>jorf</w:t>
      </w:r>
      <w:proofErr w:type="spellEnd"/>
      <w:r>
        <w:rPr>
          <w:rFonts w:ascii="Garamond" w:hAnsi="Garamond"/>
        </w:rPr>
        <w:t xml:space="preserve"> du 12/12/2014) </w:t>
      </w:r>
      <w:r>
        <w:rPr>
          <w:rStyle w:val="lev"/>
          <w:rFonts w:ascii="Garamond" w:hAnsi="Garamond"/>
        </w:rPr>
        <w:t>modifiant le code de la consommation en ce qui concerne notamment l'information des consommateurs sur les denrées alimentaires : celui-ci rend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</w:t>
      </w:r>
      <w:proofErr w:type="spellEnd"/>
      <w:r>
        <w:rPr>
          <w:rFonts w:ascii="Garamond" w:hAnsi="Garamond"/>
        </w:rPr>
        <w:t xml:space="preserve"> obligatoire pour toute denrée l’indication du n° de lot, ainsi que la dénomination des denrées alimentaires vendues non préemballées au consommateur final et fixant les sanctions en cas d’inobservation des dispositions du règlement communautaire.</w:t>
      </w:r>
    </w:p>
    <w:p w:rsidR="0051188C" w:rsidRDefault="0051188C" w:rsidP="0051188C">
      <w:pPr>
        <w:pStyle w:val="introtext"/>
        <w:spacing w:before="0" w:beforeAutospacing="0" w:after="0" w:afterAutospacing="0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Conséquences pour la vente de vin à la tireuse (caveaux de producteurs, notamment) : sont obligatoires la dénomination + pays de provenance.</w:t>
      </w:r>
    </w:p>
    <w:p w:rsidR="0051188C" w:rsidRDefault="0051188C" w:rsidP="0051188C">
      <w:pPr>
        <w:pStyle w:val="introtext"/>
        <w:spacing w:before="0" w:beforeAutospacing="0" w:after="0" w:afterAutospacing="0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D’une manière générale, dès lors qu’il n’existe pas de dispositions particulières en matière d’étiquetage dans la réglementation viticole, ce sont les dispositions générales du règlement INCO qui s’appliquent.</w:t>
      </w:r>
    </w:p>
    <w:p w:rsidR="0051188C" w:rsidRDefault="0051188C" w:rsidP="0051188C">
      <w:pPr>
        <w:pStyle w:val="introtext"/>
        <w:spacing w:before="0" w:beforeAutospacing="0" w:after="0" w:afterAutospacing="0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pPr>
        <w:autoSpaceDE w:val="0"/>
        <w:autoSpaceDN w:val="0"/>
        <w:jc w:val="center"/>
      </w:pPr>
      <w:r>
        <w:rPr>
          <w:rFonts w:ascii="Garamond" w:hAnsi="Garamond"/>
          <w:b/>
          <w:bCs/>
          <w:color w:val="000000"/>
          <w:sz w:val="28"/>
          <w:szCs w:val="28"/>
        </w:rPr>
        <w:t>Taille des caractères pour les mentions obligatoires</w:t>
      </w:r>
    </w:p>
    <w:p w:rsidR="0051188C" w:rsidRDefault="0051188C" w:rsidP="0051188C">
      <w:pPr>
        <w:autoSpaceDE w:val="0"/>
        <w:autoSpaceDN w:val="0"/>
      </w:pPr>
      <w:r>
        <w:rPr>
          <w:rFonts w:ascii="Garamond" w:hAnsi="Garamond"/>
          <w:color w:val="000000"/>
          <w:sz w:val="24"/>
          <w:szCs w:val="24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 xml:space="preserve">Concernant la taille des caractères des mentions obligatoires, la Commission européenne a considéré qu’il fallait appliquer la réglementation horizontale </w:t>
      </w:r>
      <w:r>
        <w:rPr>
          <w:rFonts w:ascii="Garamond" w:hAnsi="Garamond"/>
          <w:sz w:val="24"/>
          <w:szCs w:val="24"/>
          <w:u w:val="single"/>
        </w:rPr>
        <w:t>et</w:t>
      </w:r>
      <w:r>
        <w:rPr>
          <w:rFonts w:ascii="Garamond" w:hAnsi="Garamond"/>
          <w:sz w:val="24"/>
          <w:szCs w:val="24"/>
        </w:rPr>
        <w:t xml:space="preserve"> la réglementation spécifique.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S’agissant des vins, il faut donc retenir les points suivants :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 xml:space="preserve">1°) Principe général : </w:t>
      </w:r>
      <w:r>
        <w:rPr>
          <w:rFonts w:ascii="Garamond" w:hAnsi="Garamond"/>
          <w:b/>
          <w:bCs/>
          <w:sz w:val="24"/>
          <w:szCs w:val="24"/>
        </w:rPr>
        <w:t>les mentions obligatoires doivent être « </w:t>
      </w:r>
      <w:r>
        <w:rPr>
          <w:rFonts w:ascii="Garamond" w:hAnsi="Garamond"/>
          <w:b/>
          <w:bCs/>
          <w:i/>
          <w:iCs/>
          <w:sz w:val="24"/>
          <w:szCs w:val="24"/>
        </w:rPr>
        <w:t>présentées en caractères indélébiles, et être clairement discernables du texte ou des graphiques les entourant</w:t>
      </w:r>
      <w:r>
        <w:rPr>
          <w:rFonts w:ascii="Garamond" w:hAnsi="Garamond"/>
          <w:b/>
          <w:bCs/>
          <w:sz w:val="24"/>
          <w:szCs w:val="24"/>
        </w:rPr>
        <w:t> »</w:t>
      </w:r>
      <w:r>
        <w:rPr>
          <w:rFonts w:ascii="Garamond" w:hAnsi="Garamond"/>
          <w:sz w:val="24"/>
          <w:szCs w:val="24"/>
        </w:rPr>
        <w:t xml:space="preserve"> (art.50, </w:t>
      </w:r>
      <w:proofErr w:type="spellStart"/>
      <w:r>
        <w:rPr>
          <w:rFonts w:ascii="Garamond" w:hAnsi="Garamond"/>
          <w:sz w:val="24"/>
          <w:szCs w:val="24"/>
        </w:rPr>
        <w:t>rglt</w:t>
      </w:r>
      <w:proofErr w:type="spellEnd"/>
      <w:r>
        <w:rPr>
          <w:rFonts w:ascii="Garamond" w:hAnsi="Garamond"/>
          <w:sz w:val="24"/>
          <w:szCs w:val="24"/>
        </w:rPr>
        <w:t xml:space="preserve"> 607/2009). 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 xml:space="preserve">2°) </w:t>
      </w:r>
      <w:r>
        <w:rPr>
          <w:rFonts w:ascii="Garamond" w:hAnsi="Garamond"/>
          <w:b/>
          <w:bCs/>
          <w:sz w:val="24"/>
          <w:szCs w:val="24"/>
        </w:rPr>
        <w:t>Les dispositions spécifiques aux vins restent à ce jour en vigueur</w:t>
      </w:r>
      <w:r>
        <w:rPr>
          <w:rFonts w:ascii="Garamond" w:hAnsi="Garamond"/>
          <w:sz w:val="24"/>
          <w:szCs w:val="24"/>
        </w:rPr>
        <w:t> :</w:t>
      </w:r>
    </w:p>
    <w:p w:rsidR="0051188C" w:rsidRDefault="0051188C" w:rsidP="0051188C">
      <w:r>
        <w:rPr>
          <w:rFonts w:ascii="Garamond" w:hAnsi="Garamond"/>
          <w:sz w:val="18"/>
          <w:szCs w:val="18"/>
        </w:rPr>
        <w:t> </w:t>
      </w:r>
    </w:p>
    <w:tbl>
      <w:tblPr>
        <w:tblW w:w="7229" w:type="dxa"/>
        <w:tblInd w:w="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1877"/>
        <w:gridCol w:w="3418"/>
      </w:tblGrid>
      <w:tr w:rsidR="0051188C" w:rsidTr="0051188C"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 w:rsidP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 w:rsidP="0051188C">
            <w:pPr>
              <w:pStyle w:val="Default"/>
              <w:jc w:val="both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 w:rsidP="0051188C">
            <w:pPr>
              <w:pStyle w:val="Default"/>
              <w:jc w:val="center"/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Taille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 xml:space="preserve"> minimum 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caractères</w:t>
            </w:r>
            <w:proofErr w:type="spellEnd"/>
          </w:p>
        </w:tc>
      </w:tr>
      <w:tr w:rsidR="0051188C" w:rsidTr="0051188C"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88C" w:rsidRDefault="0051188C" w:rsidP="0051188C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Volume nominal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88C" w:rsidRDefault="0051188C" w:rsidP="0051188C">
            <w:pPr>
              <w:pStyle w:val="Default"/>
              <w:jc w:val="center"/>
            </w:pPr>
            <w:r w:rsidRPr="0051188C">
              <w:rPr>
                <w:rFonts w:ascii="Garamond" w:hAnsi="Garamond"/>
                <w:sz w:val="18"/>
                <w:szCs w:val="14"/>
              </w:rPr>
              <w:t>(en l, cl ou ml)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88C" w:rsidRPr="0051188C" w:rsidRDefault="0051188C" w:rsidP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51188C">
              <w:rPr>
                <w:rFonts w:ascii="Garamond" w:hAnsi="Garamond"/>
                <w:sz w:val="20"/>
                <w:szCs w:val="20"/>
              </w:rPr>
              <w:t xml:space="preserve">ontenance </w:t>
            </w:r>
            <w:r w:rsidRPr="0051188C">
              <w:rPr>
                <w:rFonts w:ascii="Garamond" w:hAnsi="Garamond"/>
                <w:sz w:val="20"/>
                <w:szCs w:val="20"/>
              </w:rPr>
              <w:t xml:space="preserve">&lt;20cl : </w:t>
            </w:r>
            <w:r w:rsidRPr="0051188C">
              <w:rPr>
                <w:rFonts w:ascii="Garamond" w:hAnsi="Garamond"/>
                <w:sz w:val="20"/>
                <w:szCs w:val="20"/>
              </w:rPr>
              <w:t>3</w:t>
            </w:r>
            <w:r w:rsidRPr="0051188C">
              <w:rPr>
                <w:rFonts w:ascii="Garamond" w:hAnsi="Garamond"/>
                <w:sz w:val="20"/>
                <w:szCs w:val="20"/>
              </w:rPr>
              <w:t>mm</w:t>
            </w:r>
          </w:p>
          <w:p w:rsidR="0051188C" w:rsidRPr="0051188C" w:rsidRDefault="0051188C" w:rsidP="0051188C">
            <w:pPr>
              <w:pStyle w:val="Default"/>
              <w:jc w:val="center"/>
            </w:pPr>
            <w:r w:rsidRPr="0051188C">
              <w:rPr>
                <w:rFonts w:ascii="Garamond" w:hAnsi="Garamond"/>
                <w:sz w:val="20"/>
                <w:szCs w:val="20"/>
              </w:rPr>
              <w:t>20cl</w:t>
            </w:r>
            <w:r>
              <w:rPr>
                <w:rFonts w:ascii="Symbol" w:hAnsi="Symbol"/>
                <w:sz w:val="20"/>
                <w:szCs w:val="20"/>
              </w:rPr>
              <w:t></w:t>
            </w:r>
            <w:r w:rsidRPr="0051188C">
              <w:rPr>
                <w:rFonts w:ascii="Garamond" w:hAnsi="Garamond"/>
                <w:sz w:val="20"/>
                <w:szCs w:val="20"/>
              </w:rPr>
              <w:t>contenance</w:t>
            </w:r>
            <w:r>
              <w:rPr>
                <w:rFonts w:ascii="Symbol" w:hAnsi="Symbol"/>
                <w:sz w:val="20"/>
                <w:szCs w:val="20"/>
              </w:rPr>
              <w:t></w:t>
            </w:r>
            <w:r>
              <w:rPr>
                <w:rFonts w:ascii="Garamond" w:hAnsi="Garamond"/>
                <w:sz w:val="20"/>
                <w:szCs w:val="20"/>
              </w:rPr>
              <w:t>100cl : 4</w:t>
            </w:r>
            <w:r w:rsidRPr="0051188C">
              <w:rPr>
                <w:rFonts w:ascii="Garamond" w:hAnsi="Garamond"/>
                <w:sz w:val="20"/>
                <w:szCs w:val="20"/>
              </w:rPr>
              <w:t xml:space="preserve"> mm</w:t>
            </w:r>
          </w:p>
          <w:p w:rsidR="0051188C" w:rsidRDefault="0051188C" w:rsidP="0051188C">
            <w:pPr>
              <w:pStyle w:val="Default"/>
              <w:jc w:val="center"/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contenance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>&gt;100cl : 6 mm</w:t>
            </w:r>
          </w:p>
        </w:tc>
      </w:tr>
      <w:tr w:rsidR="0051188C" w:rsidTr="0051188C"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88C" w:rsidRDefault="0051188C" w:rsidP="0051188C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Titre alcoométrique volumique acquis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Pr="0051188C" w:rsidRDefault="0051188C" w:rsidP="0051188C">
            <w:pPr>
              <w:pStyle w:val="Default"/>
              <w:jc w:val="both"/>
              <w:rPr>
                <w:sz w:val="32"/>
              </w:rPr>
            </w:pPr>
            <w:r w:rsidRPr="0051188C">
              <w:rPr>
                <w:rFonts w:ascii="Garamond" w:hAnsi="Garamond"/>
                <w:sz w:val="18"/>
                <w:szCs w:val="14"/>
              </w:rPr>
              <w:t>(par unité ou demi-unité pourcentage)</w:t>
            </w:r>
          </w:p>
          <w:p w:rsidR="0051188C" w:rsidRDefault="0051188C" w:rsidP="0051188C">
            <w:pPr>
              <w:pStyle w:val="Default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Tolérance +/-0,5% </w:t>
            </w:r>
          </w:p>
          <w:p w:rsidR="0051188C" w:rsidRDefault="0051188C" w:rsidP="0051188C">
            <w:pPr>
              <w:pStyle w:val="Default"/>
              <w:jc w:val="both"/>
            </w:pPr>
            <w:r>
              <w:rPr>
                <w:rFonts w:ascii="Garamond" w:hAnsi="Garamond"/>
                <w:sz w:val="18"/>
                <w:szCs w:val="18"/>
              </w:rPr>
              <w:t>(0,8 si stockage en bouteille depuis plus de 3 ans)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188C" w:rsidRPr="0051188C" w:rsidRDefault="0051188C" w:rsidP="0051188C">
            <w:pPr>
              <w:pStyle w:val="Default"/>
              <w:jc w:val="center"/>
            </w:pPr>
            <w:r w:rsidRPr="0051188C">
              <w:rPr>
                <w:rFonts w:ascii="Garamond" w:hAnsi="Garamond"/>
                <w:sz w:val="20"/>
                <w:szCs w:val="20"/>
              </w:rPr>
              <w:t xml:space="preserve">contenance </w:t>
            </w:r>
            <w:r w:rsidRPr="0051188C">
              <w:rPr>
                <w:rFonts w:ascii="Garamond" w:hAnsi="Garamond"/>
                <w:sz w:val="20"/>
                <w:szCs w:val="20"/>
              </w:rPr>
              <w:t>&lt;20cl : 2mm</w:t>
            </w:r>
          </w:p>
          <w:p w:rsidR="0051188C" w:rsidRPr="0051188C" w:rsidRDefault="0051188C" w:rsidP="0051188C">
            <w:pPr>
              <w:pStyle w:val="Default"/>
              <w:jc w:val="center"/>
            </w:pPr>
            <w:r w:rsidRPr="0051188C">
              <w:rPr>
                <w:rFonts w:ascii="Garamond" w:hAnsi="Garamond"/>
                <w:sz w:val="20"/>
                <w:szCs w:val="20"/>
              </w:rPr>
              <w:t>20cl</w:t>
            </w:r>
            <w:r>
              <w:rPr>
                <w:rFonts w:ascii="Symbol" w:hAnsi="Symbol"/>
                <w:sz w:val="20"/>
                <w:szCs w:val="20"/>
              </w:rPr>
              <w:t></w:t>
            </w:r>
            <w:r w:rsidRPr="0051188C">
              <w:rPr>
                <w:rFonts w:ascii="Garamond" w:hAnsi="Garamond"/>
                <w:sz w:val="20"/>
                <w:szCs w:val="20"/>
              </w:rPr>
              <w:t>contenance</w:t>
            </w:r>
            <w:r>
              <w:rPr>
                <w:rFonts w:ascii="Symbol" w:hAnsi="Symbol"/>
                <w:sz w:val="20"/>
                <w:szCs w:val="20"/>
              </w:rPr>
              <w:t></w:t>
            </w:r>
            <w:r w:rsidRPr="0051188C">
              <w:rPr>
                <w:rFonts w:ascii="Garamond" w:hAnsi="Garamond"/>
                <w:sz w:val="20"/>
                <w:szCs w:val="20"/>
              </w:rPr>
              <w:t>100cl : 3 mm</w:t>
            </w:r>
          </w:p>
          <w:p w:rsidR="0051188C" w:rsidRDefault="0051188C" w:rsidP="0051188C">
            <w:pPr>
              <w:pStyle w:val="Default"/>
              <w:jc w:val="center"/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contenance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>&gt;100cl : 5 mm</w:t>
            </w:r>
          </w:p>
        </w:tc>
      </w:tr>
    </w:tbl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 xml:space="preserve">3°) </w:t>
      </w:r>
      <w:r>
        <w:rPr>
          <w:rFonts w:ascii="Garamond" w:hAnsi="Garamond"/>
          <w:b/>
          <w:bCs/>
          <w:sz w:val="24"/>
          <w:szCs w:val="24"/>
        </w:rPr>
        <w:t>Les autres mentions obligatoires doivent être « </w:t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imprimées de manière clairement lisible, </w:t>
      </w:r>
      <w:r>
        <w:rPr>
          <w:rFonts w:ascii="Garamond" w:hAnsi="Garamond"/>
          <w:b/>
          <w:bCs/>
          <w:i/>
          <w:iCs/>
          <w:sz w:val="24"/>
          <w:szCs w:val="24"/>
          <w:u w:val="single"/>
        </w:rPr>
        <w:t>dans un corps de caractère dont la hauteur est égale ou supérieure à 1,2mm</w:t>
      </w:r>
      <w:r>
        <w:rPr>
          <w:rFonts w:ascii="Garamond" w:hAnsi="Garamond"/>
          <w:b/>
          <w:bCs/>
          <w:i/>
          <w:i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»</w:t>
      </w:r>
      <w:r>
        <w:rPr>
          <w:rFonts w:ascii="Garamond" w:hAnsi="Garamond"/>
          <w:sz w:val="24"/>
          <w:szCs w:val="24"/>
        </w:rPr>
        <w:t xml:space="preserve"> (art13, </w:t>
      </w:r>
      <w:proofErr w:type="spellStart"/>
      <w:r>
        <w:rPr>
          <w:rFonts w:ascii="Garamond" w:hAnsi="Garamond"/>
          <w:sz w:val="24"/>
          <w:szCs w:val="24"/>
        </w:rPr>
        <w:t>rglt</w:t>
      </w:r>
      <w:proofErr w:type="spellEnd"/>
      <w:r>
        <w:rPr>
          <w:rFonts w:ascii="Garamond" w:hAnsi="Garamond"/>
          <w:sz w:val="24"/>
          <w:szCs w:val="24"/>
        </w:rPr>
        <w:t xml:space="preserve"> 1169/2011). </w:t>
      </w:r>
    </w:p>
    <w:p w:rsidR="0051188C" w:rsidRDefault="0051188C" w:rsidP="0051188C">
      <w:pPr>
        <w:pStyle w:val="Default"/>
        <w:jc w:val="both"/>
      </w:pPr>
      <w:r>
        <w:rPr>
          <w:rFonts w:ascii="Garamond" w:hAnsi="Garamond"/>
        </w:rPr>
        <w:lastRenderedPageBreak/>
        <w:t> </w:t>
      </w:r>
    </w:p>
    <w:p w:rsidR="0051188C" w:rsidRDefault="0051188C" w:rsidP="0051188C">
      <w:pPr>
        <w:pStyle w:val="NormalWeb"/>
        <w:spacing w:before="0" w:beforeAutospacing="0" w:after="0" w:afterAutospacing="0"/>
        <w:jc w:val="both"/>
      </w:pPr>
      <w:r>
        <w:rPr>
          <w:rFonts w:ascii="Garamond" w:hAnsi="Garamond"/>
          <w:sz w:val="24"/>
          <w:szCs w:val="24"/>
        </w:rPr>
        <w:t xml:space="preserve">Il est rappelé que les mentions obligatoires doivent être </w:t>
      </w:r>
      <w:r>
        <w:rPr>
          <w:rFonts w:ascii="Garamond" w:hAnsi="Garamond"/>
          <w:b/>
          <w:bCs/>
          <w:sz w:val="24"/>
          <w:szCs w:val="24"/>
        </w:rPr>
        <w:t xml:space="preserve">regroupées dans le même champ visuel, </w:t>
      </w:r>
      <w:r>
        <w:rPr>
          <w:rFonts w:ascii="Garamond" w:hAnsi="Garamond"/>
          <w:sz w:val="24"/>
          <w:szCs w:val="24"/>
        </w:rPr>
        <w:t>à l’exception du point vert, du numéro de lot, de l’identité de l’importateur et de l’indication des allergènes.</w:t>
      </w:r>
    </w:p>
    <w:p w:rsidR="0051188C" w:rsidRDefault="0051188C" w:rsidP="0051188C">
      <w:pPr>
        <w:pStyle w:val="NormalWeb"/>
        <w:spacing w:before="0" w:beforeAutospacing="0" w:after="0" w:afterAutospacing="0"/>
        <w:jc w:val="both"/>
      </w:pPr>
      <w:r>
        <w:rPr>
          <w:rFonts w:ascii="Garamond" w:hAnsi="Garamond"/>
          <w:sz w:val="24"/>
          <w:szCs w:val="24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826"/>
        <w:gridCol w:w="1133"/>
        <w:gridCol w:w="709"/>
        <w:gridCol w:w="567"/>
        <w:gridCol w:w="447"/>
        <w:gridCol w:w="2122"/>
      </w:tblGrid>
      <w:tr w:rsidR="0051188C" w:rsidTr="0051188C">
        <w:tc>
          <w:tcPr>
            <w:tcW w:w="97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spacing w:before="120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RAPPEL DES MENTIONS OBLIGATOIRES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keepNext/>
              <w:spacing w:before="0" w:beforeAutospacing="0" w:after="0" w:afterAutospacing="0" w:line="276" w:lineRule="auto"/>
              <w:jc w:val="center"/>
            </w:pPr>
            <w:r>
              <w:rPr>
                <w:rFonts w:ascii="Garamond" w:hAnsi="Garamond"/>
              </w:rPr>
              <w:t>Mention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remarques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18"/>
                <w:szCs w:val="18"/>
              </w:rPr>
              <w:t>exemple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Emplacement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18"/>
                <w:szCs w:val="18"/>
              </w:rPr>
              <w:t>Taille minimum caractères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keepNext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Dénomination vente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nom de l’AOC (terme français) ou de l’AOP (équivalent européen)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Appellation Bordeaux Contrôlée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188C" w:rsidRDefault="0051188C">
            <w:pPr>
              <w:pStyle w:val="Default"/>
              <w:ind w:left="113" w:right="113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Regroupées dans le même champ visuel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188C" w:rsidRDefault="0051188C">
            <w:pPr>
              <w:pStyle w:val="Default"/>
              <w:ind w:left="113" w:right="113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Caractères lisibles et clairement discernables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Indication provenance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pays producteur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Produit de France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keepNext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Identité de l’embouteilleur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Personne (propriétaire du vin en vrac) pour le compte de laquelle l’embouteillage est réalisé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16"/>
                <w:szCs w:val="16"/>
              </w:rPr>
              <w:t xml:space="preserve">Mention relative à la teneur en sucre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16"/>
                <w:szCs w:val="16"/>
              </w:rPr>
              <w:t>(vins mousseux uniquement)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Volume nominal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En l, cl ou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75 cl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Pr="0051188C" w:rsidRDefault="0051188C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>&lt;20cl : 2mm</w:t>
            </w:r>
          </w:p>
          <w:p w:rsidR="0051188C" w:rsidRPr="0051188C" w:rsidRDefault="0051188C">
            <w:pPr>
              <w:pStyle w:val="Default"/>
              <w:jc w:val="center"/>
              <w:rPr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20cl</w:t>
            </w:r>
            <w:r>
              <w:rPr>
                <w:rFonts w:ascii="Symbol" w:hAnsi="Symbol"/>
                <w:sz w:val="20"/>
                <w:szCs w:val="20"/>
              </w:rPr>
              <w:t>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tav</w:t>
            </w:r>
            <w:proofErr w:type="spellEnd"/>
            <w:r>
              <w:rPr>
                <w:rFonts w:ascii="Symbol" w:hAnsi="Symbol"/>
                <w:sz w:val="20"/>
                <w:szCs w:val="20"/>
              </w:rPr>
              <w:t>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100cl : 3 mm</w:t>
            </w:r>
          </w:p>
          <w:p w:rsidR="0051188C" w:rsidRDefault="0051188C">
            <w:pPr>
              <w:pStyle w:val="Default"/>
              <w:jc w:val="center"/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>&gt;100cl : 6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Titre alcoométrique volumique acquis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Par unité ou demi-unité pourcentage</w:t>
            </w:r>
          </w:p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 xml:space="preserve">Tolérance +/-0,5% </w:t>
            </w:r>
            <w:r>
              <w:rPr>
                <w:rFonts w:ascii="Garamond" w:hAnsi="Garamond"/>
                <w:sz w:val="16"/>
                <w:szCs w:val="16"/>
              </w:rPr>
              <w:t>(0,8 si stockage en bouteille depuis plus de 3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13% vol.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Pr="0051188C" w:rsidRDefault="0051188C">
            <w:pPr>
              <w:pStyle w:val="Default"/>
              <w:jc w:val="center"/>
              <w:rPr>
                <w:lang w:val="en-US"/>
              </w:rPr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>&lt;20cl : 2mm</w:t>
            </w:r>
          </w:p>
          <w:p w:rsidR="0051188C" w:rsidRPr="0051188C" w:rsidRDefault="0051188C">
            <w:pPr>
              <w:pStyle w:val="Default"/>
              <w:jc w:val="center"/>
              <w:rPr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20cl</w:t>
            </w:r>
            <w:r>
              <w:rPr>
                <w:rFonts w:ascii="Symbol" w:hAnsi="Symbol"/>
                <w:sz w:val="20"/>
                <w:szCs w:val="20"/>
              </w:rPr>
              <w:t></w:t>
            </w: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tav</w:t>
            </w:r>
            <w:proofErr w:type="spellEnd"/>
            <w:r>
              <w:rPr>
                <w:rFonts w:ascii="Symbol" w:hAnsi="Symbol"/>
                <w:sz w:val="20"/>
                <w:szCs w:val="20"/>
              </w:rPr>
              <w:t></w:t>
            </w:r>
            <w:r>
              <w:rPr>
                <w:rFonts w:ascii="Garamond" w:hAnsi="Garamond"/>
                <w:sz w:val="20"/>
                <w:szCs w:val="20"/>
                <w:lang w:val="en-US"/>
              </w:rPr>
              <w:t>100cl : 3 mm</w:t>
            </w:r>
          </w:p>
          <w:p w:rsidR="0051188C" w:rsidRDefault="0051188C">
            <w:pPr>
              <w:pStyle w:val="Default"/>
              <w:jc w:val="center"/>
            </w:pPr>
            <w:proofErr w:type="spellStart"/>
            <w:r>
              <w:rPr>
                <w:rFonts w:ascii="Garamond" w:hAnsi="Garamond"/>
                <w:sz w:val="20"/>
                <w:szCs w:val="20"/>
                <w:lang w:val="en-US"/>
              </w:rPr>
              <w:t>Tav</w:t>
            </w:r>
            <w:proofErr w:type="spellEnd"/>
            <w:r>
              <w:rPr>
                <w:rFonts w:ascii="Garamond" w:hAnsi="Garamond"/>
                <w:sz w:val="20"/>
                <w:szCs w:val="20"/>
                <w:lang w:val="en-US"/>
              </w:rPr>
              <w:t>&gt;100cl : 5 mm</w:t>
            </w:r>
          </w:p>
        </w:tc>
      </w:tr>
      <w:tr w:rsidR="0051188C" w:rsidTr="0051188C">
        <w:trPr>
          <w:cantSplit/>
          <w:trHeight w:val="1134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Message prévention syndrome alcoolisation fœtale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0bligatoire pour vins mis sur le marché ou étiquetés depuis le 3 octobre 2007)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51188C" w:rsidRDefault="0051188C">
            <w:pPr>
              <w:pStyle w:val="Default"/>
              <w:ind w:left="113" w:right="113"/>
              <w:jc w:val="both"/>
            </w:pPr>
            <w:r>
              <w:rPr>
                <w:rFonts w:ascii="Garamond" w:hAnsi="Garamond"/>
                <w:sz w:val="20"/>
                <w:szCs w:val="20"/>
              </w:rPr>
              <w:t xml:space="preserve">A côté du titre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alcoo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 xml:space="preserve">Soit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picto</w:t>
            </w:r>
            <w:proofErr w:type="spellEnd"/>
          </w:p>
          <w:p w:rsidR="0051188C" w:rsidRDefault="0051188C">
            <w:pPr>
              <w:pStyle w:val="Default"/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Image 2" descr="cid:image002.png@01D030E7.CADBB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2.png@01D030E7.CADBB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Soit « </w:t>
            </w:r>
            <w:r>
              <w:rPr>
                <w:rFonts w:ascii="Garamond" w:hAnsi="Garamond"/>
                <w:i/>
                <w:iCs/>
                <w:sz w:val="16"/>
                <w:szCs w:val="16"/>
              </w:rPr>
              <w:t>«La consommation de boissons alcoolisées pendant le grossesse, même en faible quantité, peut avoir des conséquences graves sur la santé de l’enfant»</w:t>
            </w:r>
          </w:p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Numéro de lot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Allergènes - sulfites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obligatoire depuis le 25 novembre 2005)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Contient sulfites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Allergènes – lait et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oeuf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obligatoire pour les vins élaborés totalement ou partiellement à partir des récoltes 2012 et suivantes)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Contient sulfites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sz w:val="20"/>
                <w:szCs w:val="20"/>
              </w:rPr>
              <w:t>1,2 mm</w:t>
            </w:r>
          </w:p>
        </w:tc>
      </w:tr>
      <w:tr w:rsidR="0051188C" w:rsidTr="0051188C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rFonts w:ascii="Garamond" w:hAnsi="Garamond"/>
                <w:sz w:val="22"/>
                <w:szCs w:val="22"/>
              </w:rPr>
              <w:t>Point vert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contribution à la récupération des emballages obligatoire depuis le décret du 01/04/1992</w:t>
            </w:r>
          </w:p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  <w:sz w:val="20"/>
                <w:szCs w:val="20"/>
              </w:rPr>
              <w:t>Deux sociétés agréées par l’Etat : Adelphe et Ecoemballages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both"/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188C" w:rsidRDefault="005118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88C" w:rsidRDefault="0051188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1" name="Image 1" descr="point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int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88C" w:rsidRDefault="0051188C" w:rsidP="0051188C">
      <w:pPr>
        <w:pStyle w:val="Default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pPr>
        <w:pStyle w:val="Default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pPr>
        <w:pStyle w:val="Default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pPr>
        <w:autoSpaceDE w:val="0"/>
        <w:autoSpaceDN w:val="0"/>
        <w:jc w:val="center"/>
      </w:pPr>
      <w:r>
        <w:rPr>
          <w:rFonts w:ascii="Garamond" w:hAnsi="Garamond"/>
          <w:b/>
          <w:bCs/>
          <w:color w:val="000000"/>
          <w:sz w:val="28"/>
          <w:szCs w:val="28"/>
        </w:rPr>
        <w:t>Numéro de lot</w:t>
      </w:r>
    </w:p>
    <w:p w:rsidR="0051188C" w:rsidRDefault="0051188C" w:rsidP="0051188C">
      <w:pPr>
        <w:pStyle w:val="Default"/>
        <w:jc w:val="both"/>
      </w:pPr>
      <w:r>
        <w:rPr>
          <w:rFonts w:ascii="Garamond" w:hAnsi="Garamond"/>
        </w:rPr>
        <w:t> 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Le décret du 11 décembre 2014 modifiant le code de la consommation rappelle qu’une denrée alimentaire ne peut être commercialisée sans être accompagnée d’une identification de lot :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pPr>
        <w:pStyle w:val="Paragraphedeliste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>Un lot est un « ensemble d’unités de vente d’une denrée alimentaire qui a été produite, fabriquée ou conditionnée dans des circonstances pratiquement identiques ».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lastRenderedPageBreak/>
        <w:t>= concernant les vins, le minimum consiste donc à faire au moins un lot par AOC (+ couleur), millésime, une différenciation supplémentaire pouvant être effectuée par nom de château / marque, date de conditionnement, circuits de distribution…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pPr>
        <w:pStyle w:val="Paragraphedeliste"/>
        <w:numPr>
          <w:ilvl w:val="0"/>
          <w:numId w:val="1"/>
        </w:numPr>
        <w:jc w:val="both"/>
      </w:pPr>
      <w:r>
        <w:rPr>
          <w:rFonts w:ascii="Garamond" w:hAnsi="Garamond"/>
          <w:sz w:val="24"/>
          <w:szCs w:val="24"/>
        </w:rPr>
        <w:t>La composition de l’identification du lot est librement déterminée par le conditionneur : la mention est précédée de la lettre « L » (sauf si elle se distingue clairement des autres mentions) et ne peut plus être réutilisée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 xml:space="preserve">Exemple : L + millésime + initiales </w:t>
      </w:r>
      <w:proofErr w:type="spellStart"/>
      <w:r>
        <w:rPr>
          <w:rFonts w:ascii="Garamond" w:hAnsi="Garamond"/>
          <w:sz w:val="24"/>
          <w:szCs w:val="24"/>
        </w:rPr>
        <w:t>aoc</w:t>
      </w:r>
      <w:proofErr w:type="spellEnd"/>
      <w:r>
        <w:rPr>
          <w:rFonts w:ascii="Garamond" w:hAnsi="Garamond"/>
          <w:sz w:val="24"/>
          <w:szCs w:val="24"/>
        </w:rPr>
        <w:t xml:space="preserve"> + initiales château + numéro mise (L13BRCT1)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pPr>
        <w:pStyle w:val="Paragraphedeliste"/>
        <w:numPr>
          <w:ilvl w:val="0"/>
          <w:numId w:val="1"/>
        </w:numPr>
      </w:pPr>
      <w:r>
        <w:rPr>
          <w:rFonts w:ascii="Garamond" w:hAnsi="Garamond"/>
          <w:sz w:val="24"/>
          <w:szCs w:val="24"/>
        </w:rPr>
        <w:t>L’identification du lot figure sur le préemballage (bouteille) : sur l’étiquette, la contre-étiquette ou la jupe de la capsule.</w:t>
      </w:r>
    </w:p>
    <w:p w:rsidR="0051188C" w:rsidRDefault="0051188C" w:rsidP="0051188C">
      <w:r>
        <w:rPr>
          <w:rFonts w:ascii="Garamond" w:hAnsi="Garamond"/>
          <w:sz w:val="24"/>
          <w:szCs w:val="24"/>
        </w:rPr>
        <w:t> </w:t>
      </w:r>
    </w:p>
    <w:p w:rsidR="0051188C" w:rsidRDefault="0051188C" w:rsidP="0051188C">
      <w:proofErr w:type="spellStart"/>
      <w:r>
        <w:rPr>
          <w:rFonts w:ascii="Garamond" w:hAnsi="Garamond"/>
          <w:i/>
          <w:iCs/>
          <w:sz w:val="24"/>
          <w:szCs w:val="24"/>
        </w:rPr>
        <w:t>Cf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registre de conditionnement inclus dans le Registre unique de manipulations édité par la FGVB</w:t>
      </w:r>
    </w:p>
    <w:p w:rsidR="00792185" w:rsidRDefault="00792185"/>
    <w:sectPr w:rsidR="0079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E00"/>
    <w:multiLevelType w:val="hybridMultilevel"/>
    <w:tmpl w:val="C726A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8C"/>
    <w:rsid w:val="00113F32"/>
    <w:rsid w:val="0051188C"/>
    <w:rsid w:val="007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67E5-EBF1-4A9A-B44F-4B261466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8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88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188C"/>
    <w:pPr>
      <w:ind w:left="720"/>
    </w:pPr>
    <w:rPr>
      <w:rFonts w:cs="Arial"/>
    </w:rPr>
  </w:style>
  <w:style w:type="paragraph" w:customStyle="1" w:styleId="Default">
    <w:name w:val="Default"/>
    <w:basedOn w:val="Normal"/>
    <w:uiPriority w:val="99"/>
    <w:rsid w:val="0051188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customStyle="1" w:styleId="introtext">
    <w:name w:val="intro_text"/>
    <w:basedOn w:val="Normal"/>
    <w:uiPriority w:val="99"/>
    <w:semiHidden/>
    <w:rsid w:val="005118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511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30E7.CADBB7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030E7.CADBB7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2015-02-17T09:32:00Z</dcterms:created>
  <dcterms:modified xsi:type="dcterms:W3CDTF">2015-02-17T09:43:00Z</dcterms:modified>
</cp:coreProperties>
</file>